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宋体" w:eastAsia="黑体" w:cs="黑体"/>
          <w:bCs/>
          <w:sz w:val="32"/>
          <w:szCs w:val="32"/>
          <w:lang w:bidi="ar"/>
        </w:rPr>
      </w:pPr>
      <w:r>
        <w:rPr>
          <w:rFonts w:hint="eastAsia" w:ascii="黑体" w:hAnsi="宋体" w:eastAsia="黑体" w:cs="黑体"/>
          <w:bCs/>
          <w:sz w:val="32"/>
          <w:szCs w:val="32"/>
          <w:lang w:bidi="ar"/>
        </w:rPr>
        <w:t>附件</w:t>
      </w:r>
    </w:p>
    <w:p>
      <w:pPr>
        <w:spacing w:line="560" w:lineRule="exact"/>
        <w:jc w:val="left"/>
        <w:rPr>
          <w:rFonts w:hint="eastAsia" w:ascii="黑体" w:hAnsi="宋体" w:eastAsia="黑体" w:cs="黑体"/>
          <w:bCs/>
          <w:sz w:val="32"/>
          <w:szCs w:val="32"/>
          <w:lang w:bidi="ar"/>
        </w:rPr>
      </w:pPr>
    </w:p>
    <w:p>
      <w:pPr>
        <w:spacing w:line="560" w:lineRule="exact"/>
        <w:jc w:val="center"/>
        <w:rPr>
          <w:rFonts w:ascii="仿宋_GB2312" w:eastAsia="仿宋_GB2312" w:cs="仿宋_GB2312"/>
          <w:b/>
          <w:sz w:val="28"/>
          <w:szCs w:val="28"/>
          <w:lang w:bidi="ar"/>
        </w:rPr>
      </w:pPr>
      <w:r>
        <w:rPr>
          <w:rFonts w:hint="eastAsia" w:ascii="方正小标宋_GBK" w:hAnsi="方正小标宋_GBK" w:eastAsia="方正小标宋_GBK" w:cs="方正小标宋_GBK"/>
          <w:bCs/>
          <w:sz w:val="36"/>
          <w:szCs w:val="36"/>
          <w:lang w:val="en-US" w:eastAsia="zh-CN" w:bidi="ar"/>
        </w:rPr>
        <w:t>福建省人工智能产业基金</w:t>
      </w:r>
      <w:r>
        <w:rPr>
          <w:rFonts w:hint="eastAsia" w:ascii="方正小标宋_GBK" w:hAnsi="方正小标宋_GBK" w:eastAsia="方正小标宋_GBK" w:cs="方正小标宋_GBK"/>
          <w:bCs/>
          <w:sz w:val="36"/>
          <w:szCs w:val="36"/>
          <w:lang w:bidi="ar"/>
        </w:rPr>
        <w:t>管理机构资质合规自评表</w:t>
      </w:r>
      <w:r>
        <w:rPr>
          <w:rFonts w:hint="eastAsia" w:ascii="仿宋_GB2312" w:eastAsia="仿宋_GB2312" w:cs="仿宋_GB2312"/>
          <w:b/>
          <w:sz w:val="28"/>
          <w:szCs w:val="28"/>
          <w:lang w:bidi="ar"/>
        </w:rPr>
        <w:t xml:space="preserve"> </w:t>
      </w:r>
    </w:p>
    <w:p>
      <w:pPr>
        <w:pStyle w:val="7"/>
      </w:pPr>
    </w:p>
    <w:p>
      <w:pPr>
        <w:spacing w:line="560" w:lineRule="exact"/>
        <w:jc w:val="left"/>
        <w:rPr>
          <w:rFonts w:ascii="仿宋_GB2312" w:eastAsia="仿宋_GB2312" w:cs="仿宋_GB2312"/>
          <w:b/>
          <w:sz w:val="28"/>
          <w:szCs w:val="28"/>
        </w:rPr>
      </w:pPr>
      <w:r>
        <w:rPr>
          <w:rFonts w:hint="eastAsia" w:ascii="仿宋_GB2312" w:eastAsia="仿宋_GB2312" w:cs="仿宋_GB2312"/>
          <w:b/>
          <w:sz w:val="28"/>
          <w:szCs w:val="28"/>
          <w:lang w:bidi="ar"/>
        </w:rPr>
        <w:t>拟申报机构名称：</w:t>
      </w:r>
    </w:p>
    <w:p>
      <w:pPr>
        <w:autoSpaceDE w:val="0"/>
        <w:spacing w:line="280" w:lineRule="exact"/>
        <w:jc w:val="left"/>
        <w:rPr>
          <w:rFonts w:ascii="仿宋_GB2312" w:eastAsia="仿宋_GB2312" w:cs="仿宋_GB2312"/>
          <w:b/>
          <w:sz w:val="28"/>
          <w:szCs w:val="28"/>
        </w:rPr>
      </w:pPr>
      <w:r>
        <w:rPr>
          <w:rFonts w:hint="eastAsia" w:ascii="仿宋_GB2312" w:eastAsia="仿宋_GB2312" w:cs="仿宋_GB2312"/>
          <w:b/>
          <w:sz w:val="28"/>
          <w:szCs w:val="28"/>
          <w:lang w:bidi="ar"/>
        </w:rPr>
        <w:t xml:space="preserve"> </w:t>
      </w:r>
    </w:p>
    <w:p>
      <w:pPr>
        <w:pStyle w:val="2"/>
        <w:widowControl/>
        <w:snapToGrid w:val="0"/>
        <w:spacing w:beforeAutospacing="0" w:afterAutospacing="0"/>
        <w:ind w:firstLine="643" w:firstLineChars="200"/>
        <w:rPr>
          <w:rFonts w:hint="default" w:ascii="仿宋_GB2312" w:hAnsi="仿宋_GB2312" w:eastAsia="黑体"/>
          <w:sz w:val="32"/>
          <w:szCs w:val="32"/>
        </w:rPr>
      </w:pPr>
      <w:r>
        <w:rPr>
          <w:rFonts w:ascii="黑体" w:eastAsia="黑体" w:cs="黑体"/>
          <w:sz w:val="32"/>
          <w:szCs w:val="32"/>
        </w:rPr>
        <w:t>一、申报机构要求</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4929"/>
        <w:gridCol w:w="131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3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项目</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是否符合</w:t>
            </w: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restart"/>
            <w:tcBorders>
              <w:top w:val="nil"/>
              <w:left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管理机构基本资质</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1.依法设立的公司或合伙企业，实收资本不低于1000万元人民币，在中国证券投资基金业协会登记为私募股权、创业投资基金管理人。</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2.至少有3名具备3年以上资产管理工作经验的高级管理人员。</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3.基金管理机构及其董事、监事、高级管理人员及其他从业人员在最近三年无重大违法行为。</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4.有符合要求的营业场所、安全防范设施和与基金管理业务有关的其他设施。</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rPr>
            </w:pPr>
            <w:r>
              <w:rPr>
                <w:rFonts w:hAnsi="Times New Roman" w:cs="仿宋_GB2312"/>
              </w:rPr>
              <w:t>5.有良好的内部治理结构和风险控制制度。</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cs="仿宋_GB2312"/>
              </w:rPr>
            </w:pPr>
            <w:r>
              <w:rPr>
                <w:rFonts w:hAnsi="Times New Roman" w:cs="仿宋_GB2312"/>
              </w:rPr>
              <w:t>6.法律法规规定的其他条件和基金发起人认为应当具备的其他条件。</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b/>
                <w:bCs/>
              </w:rPr>
            </w:pPr>
            <w:r>
              <w:rPr>
                <w:rFonts w:hAnsi="Times New Roman" w:cs="仿宋_GB2312"/>
                <w:b/>
                <w:bCs/>
              </w:rPr>
              <w:t>管理机构出资情况</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eastAsia" w:hAnsi="Times New Roman" w:eastAsia="仿宋_GB2312"/>
                <w:lang w:eastAsia="zh-CN"/>
              </w:rPr>
            </w:pPr>
            <w:r>
              <w:rPr>
                <w:rFonts w:hint="default" w:hAnsi="Times New Roman"/>
              </w:rPr>
              <w:t>基金管理机构及其关联方出资</w:t>
            </w:r>
            <w:r>
              <w:rPr>
                <w:rFonts w:hint="eastAsia" w:hAnsi="Times New Roman"/>
                <w:lang w:val="en-US" w:eastAsia="zh-CN"/>
              </w:rPr>
              <w:t>比例</w:t>
            </w:r>
            <w:r>
              <w:rPr>
                <w:rFonts w:hint="default" w:hAnsi="Times New Roman"/>
              </w:rPr>
              <w:t>不低于</w:t>
            </w:r>
            <w:r>
              <w:rPr>
                <w:rFonts w:hint="eastAsia" w:hAnsi="Times New Roman"/>
                <w:lang w:val="en-US" w:eastAsia="zh-CN"/>
              </w:rPr>
              <w:t>1</w:t>
            </w:r>
            <w:r>
              <w:rPr>
                <w:rFonts w:hint="default" w:hAnsi="Times New Roman"/>
              </w:rPr>
              <w:t>%</w:t>
            </w:r>
            <w:r>
              <w:rPr>
                <w:rFonts w:hint="eastAsia" w:hAnsi="Times New Roman"/>
                <w:lang w:eastAsia="zh-CN"/>
              </w:rPr>
              <w:t>。</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restart"/>
            <w:tcBorders>
              <w:top w:val="single" w:color="auto" w:sz="4" w:space="0"/>
              <w:left w:val="single" w:color="auto" w:sz="4" w:space="0"/>
              <w:right w:val="single" w:color="auto" w:sz="4" w:space="0"/>
            </w:tcBorders>
            <w:shd w:val="clear" w:color="auto" w:fill="auto"/>
            <w:vAlign w:val="center"/>
          </w:tcPr>
          <w:p>
            <w:pPr>
              <w:pStyle w:val="14"/>
              <w:widowControl/>
              <w:rPr>
                <w:rFonts w:hint="default" w:hAnsi="Times New Roman"/>
                <w:b/>
                <w:bCs/>
                <w:highlight w:val="none"/>
              </w:rPr>
            </w:pPr>
            <w:r>
              <w:rPr>
                <w:rFonts w:hint="default" w:hAnsi="Times New Roman"/>
                <w:b/>
                <w:bCs/>
                <w:highlight w:val="none"/>
              </w:rPr>
              <w:t>募资</w:t>
            </w:r>
            <w:r>
              <w:rPr>
                <w:rFonts w:hint="default" w:hAnsi="Times New Roman"/>
                <w:b/>
                <w:bCs/>
                <w:highlight w:val="none"/>
                <w:lang w:val="en-US" w:eastAsia="zh-CN"/>
              </w:rPr>
              <w:t>及管理</w:t>
            </w:r>
            <w:r>
              <w:rPr>
                <w:rFonts w:hint="default" w:hAnsi="Times New Roman"/>
                <w:b/>
                <w:bCs/>
                <w:highlight w:val="none"/>
              </w:rPr>
              <w:t>能力</w:t>
            </w: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default" w:hAnsi="Times New Roman"/>
                <w:highlight w:val="none"/>
              </w:rPr>
            </w:pPr>
            <w:r>
              <w:rPr>
                <w:rFonts w:hint="default" w:hAnsi="Times New Roman"/>
                <w:highlight w:val="none"/>
              </w:rPr>
              <w:t>提供首期认缴出资证明文件，且合计出资比例不低于首期认缴规模50%（不含省级母基金）。</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right w:val="single" w:color="auto" w:sz="4" w:space="0"/>
            </w:tcBorders>
            <w:shd w:val="clear" w:color="auto" w:fill="auto"/>
            <w:vAlign w:val="center"/>
          </w:tcPr>
          <w:p>
            <w:pPr>
              <w:pStyle w:val="14"/>
              <w:widowControl/>
              <w:rPr>
                <w:rFonts w:hAnsi="Times New Roman" w:cs="仿宋_GB2312"/>
                <w:b/>
                <w:bCs/>
                <w:highlight w:val="none"/>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eastAsia" w:hAnsi="Times New Roman" w:cs="楷体"/>
                <w:highlight w:val="none"/>
              </w:rPr>
            </w:pPr>
            <w:r>
              <w:rPr>
                <w:rFonts w:hint="eastAsia" w:hAnsi="Times New Roman" w:cs="楷体"/>
                <w:highlight w:val="none"/>
              </w:rPr>
              <w:t>管理机构或核心关键人士过往投资人工智能等数字经济领域相关项目不少于10个。</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678" w:type="pct"/>
            <w:vMerge w:val="continue"/>
            <w:tcBorders>
              <w:left w:val="single" w:color="auto" w:sz="4" w:space="0"/>
              <w:bottom w:val="single" w:color="auto" w:sz="4" w:space="0"/>
              <w:right w:val="single" w:color="auto" w:sz="4" w:space="0"/>
            </w:tcBorders>
            <w:shd w:val="clear" w:color="auto" w:fill="auto"/>
            <w:vAlign w:val="center"/>
          </w:tcPr>
          <w:p>
            <w:pPr>
              <w:pStyle w:val="14"/>
              <w:widowControl/>
              <w:rPr>
                <w:rFonts w:hAnsi="Times New Roman" w:cs="仿宋_GB2312"/>
                <w:b/>
                <w:bCs/>
                <w:highlight w:val="none"/>
              </w:rPr>
            </w:pPr>
          </w:p>
        </w:tc>
        <w:tc>
          <w:tcPr>
            <w:tcW w:w="272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jc w:val="left"/>
              <w:rPr>
                <w:rFonts w:hint="eastAsia" w:hAnsi="Times New Roman" w:cs="楷体"/>
                <w:highlight w:val="none"/>
              </w:rPr>
            </w:pPr>
            <w:r>
              <w:rPr>
                <w:rFonts w:hint="eastAsia" w:hAnsi="Times New Roman" w:cs="楷体"/>
                <w:highlight w:val="none"/>
              </w:rPr>
              <w:t>管理机构或核心关键人士实现不少于2个以上人工智能领域成功退出或投资后估值提升至10亿元美元（或等值人民币）以上项目。</w:t>
            </w:r>
          </w:p>
        </w:tc>
        <w:tc>
          <w:tcPr>
            <w:tcW w:w="72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highlight w:val="none"/>
              </w:rPr>
            </w:pPr>
          </w:p>
        </w:tc>
        <w:tc>
          <w:tcPr>
            <w:tcW w:w="87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rPr>
            </w:pPr>
          </w:p>
        </w:tc>
      </w:tr>
    </w:tbl>
    <w:p>
      <w:pPr>
        <w:pStyle w:val="6"/>
        <w:widowControl/>
        <w:rPr>
          <w:rFonts w:cs="仿宋_GB2312"/>
        </w:rPr>
      </w:pPr>
      <w:r>
        <w:rPr>
          <w:rFonts w:cs="仿宋_GB2312"/>
        </w:rPr>
        <w:t>注：申报机构应开展合规性自评，并在是否符合一栏填写“√”或“х”，需要进一步说明的事项请填写在情况说明栏内。</w:t>
      </w:r>
    </w:p>
    <w:p>
      <w:pPr>
        <w:pStyle w:val="6"/>
        <w:widowControl/>
        <w:rPr>
          <w:rFonts w:cs="仿宋_GB2312"/>
        </w:rPr>
      </w:pPr>
    </w:p>
    <w:p>
      <w:pPr>
        <w:pStyle w:val="6"/>
        <w:widowControl/>
        <w:rPr>
          <w:rFonts w:hint="default" w:cs="仿宋_GB2312"/>
        </w:rPr>
      </w:pPr>
    </w:p>
    <w:p>
      <w:pPr>
        <w:pStyle w:val="2"/>
        <w:widowControl/>
        <w:ind w:firstLine="643" w:firstLineChars="200"/>
        <w:rPr>
          <w:rFonts w:hint="default" w:ascii="仿宋_GB2312" w:hAnsi="仿宋_GB2312" w:eastAsia="黑体"/>
          <w:sz w:val="32"/>
          <w:szCs w:val="32"/>
        </w:rPr>
      </w:pPr>
      <w:r>
        <w:rPr>
          <w:rFonts w:ascii="黑体" w:eastAsia="黑体" w:cs="黑体"/>
          <w:sz w:val="32"/>
          <w:szCs w:val="32"/>
        </w:rPr>
        <w:t>二、基金设立要求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rPr>
                <w:rFonts w:hint="default" w:hAnsi="Times New Roman" w:cs="仿宋_GB2312"/>
                <w:b/>
                <w:sz w:val="22"/>
                <w:szCs w:val="22"/>
                <w:highlight w:val="none"/>
              </w:rPr>
            </w:pPr>
            <w:r>
              <w:rPr>
                <w:rFonts w:hAnsi="Times New Roman" w:cs="仿宋_GB2312"/>
                <w:b/>
                <w:bCs/>
                <w:highlight w:val="none"/>
              </w:rPr>
              <w:t>基金要素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hint="default" w:ascii="仿宋_GB2312" w:hAnsi="Times New Roman" w:eastAsia="仿宋_GB2312" w:cs="仿宋_GB2312"/>
                <w:kern w:val="0"/>
                <w:sz w:val="24"/>
                <w:highlight w:val="none"/>
                <w:lang w:val="en-US" w:eastAsia="zh-CN" w:bidi="ar"/>
              </w:rPr>
            </w:pPr>
            <w:r>
              <w:rPr>
                <w:rFonts w:hint="eastAsia" w:ascii="仿宋_GB2312" w:hAnsi="Times New Roman" w:eastAsia="仿宋_GB2312" w:cs="仿宋_GB2312"/>
                <w:kern w:val="0"/>
                <w:sz w:val="24"/>
                <w:highlight w:val="none"/>
                <w:lang w:val="en-US" w:eastAsia="zh-CN" w:bidi="ar"/>
              </w:rPr>
              <w:t>1.基金目标规模不低于10亿元，首期认缴规模不低于5亿元。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Times New Roman" w:eastAsia="仿宋_GB2312" w:cs="楷体"/>
                <w:kern w:val="0"/>
                <w:sz w:val="24"/>
                <w:highlight w:val="none"/>
              </w:rPr>
            </w:pPr>
            <w:r>
              <w:rPr>
                <w:rFonts w:hint="eastAsia" w:ascii="仿宋_GB2312" w:hAnsi="Times New Roman" w:eastAsia="仿宋_GB2312" w:cs="仿宋_GB2312"/>
                <w:kern w:val="0"/>
                <w:sz w:val="24"/>
                <w:highlight w:val="none"/>
                <w:lang w:val="en-US" w:eastAsia="zh-CN" w:bidi="ar"/>
              </w:rPr>
              <w:t>2</w:t>
            </w:r>
            <w:r>
              <w:rPr>
                <w:rFonts w:hint="eastAsia" w:ascii="仿宋_GB2312" w:hAnsi="Times New Roman" w:eastAsia="仿宋_GB2312" w:cs="仿宋_GB2312"/>
                <w:kern w:val="0"/>
                <w:sz w:val="24"/>
                <w:highlight w:val="none"/>
                <w:lang w:bidi="ar"/>
              </w:rPr>
              <w:t>.省级母基金出资</w:t>
            </w:r>
            <w:r>
              <w:rPr>
                <w:rFonts w:hint="eastAsia" w:ascii="仿宋_GB2312" w:hAnsi="Times New Roman" w:eastAsia="仿宋_GB2312" w:cs="仿宋_GB2312"/>
                <w:kern w:val="0"/>
                <w:sz w:val="24"/>
                <w:highlight w:val="none"/>
                <w:lang w:val="en-US" w:eastAsia="zh-CN" w:bidi="ar"/>
              </w:rPr>
              <w:t>比例</w:t>
            </w:r>
            <w:r>
              <w:rPr>
                <w:rFonts w:hint="eastAsia" w:ascii="仿宋_GB2312" w:hAnsi="Times New Roman" w:eastAsia="仿宋_GB2312" w:cs="仿宋_GB2312"/>
                <w:kern w:val="0"/>
                <w:sz w:val="24"/>
                <w:highlight w:val="none"/>
                <w:lang w:bidi="ar"/>
              </w:rPr>
              <w:t>不超过</w:t>
            </w:r>
            <w:r>
              <w:rPr>
                <w:rFonts w:hint="eastAsia" w:ascii="仿宋_GB2312" w:hAnsi="Times New Roman" w:eastAsia="仿宋_GB2312" w:cs="仿宋_GB2312"/>
                <w:kern w:val="0"/>
                <w:sz w:val="24"/>
                <w:highlight w:val="none"/>
                <w:lang w:val="en-US" w:eastAsia="zh-CN" w:bidi="ar"/>
              </w:rPr>
              <w:t>3</w:t>
            </w:r>
            <w:r>
              <w:rPr>
                <w:rFonts w:hint="eastAsia" w:ascii="仿宋_GB2312" w:hAnsi="Times New Roman" w:eastAsia="仿宋_GB2312" w:cs="仿宋_GB2312"/>
                <w:kern w:val="0"/>
                <w:sz w:val="24"/>
                <w:highlight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Times New Roman" w:eastAsia="仿宋_GB2312" w:cs="楷体"/>
                <w:kern w:val="0"/>
                <w:sz w:val="24"/>
                <w:highlight w:val="none"/>
              </w:rPr>
            </w:pPr>
            <w:r>
              <w:rPr>
                <w:rFonts w:hint="eastAsia" w:ascii="仿宋_GB2312" w:hAnsi="Times New Roman" w:eastAsia="仿宋_GB2312" w:cs="仿宋_GB2312"/>
                <w:kern w:val="0"/>
                <w:sz w:val="24"/>
                <w:highlight w:val="none"/>
                <w:lang w:val="en-US" w:eastAsia="zh-CN" w:bidi="ar"/>
              </w:rPr>
              <w:t>3</w:t>
            </w:r>
            <w:r>
              <w:rPr>
                <w:rFonts w:hint="eastAsia" w:ascii="仿宋_GB2312" w:hAnsi="Times New Roman" w:eastAsia="仿宋_GB2312" w:cs="仿宋_GB2312"/>
                <w:kern w:val="0"/>
                <w:sz w:val="24"/>
                <w:highlight w:val="none"/>
                <w:lang w:bidi="ar"/>
              </w:rPr>
              <w:t>.基金注册地应为福建省内。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hint="eastAsia" w:ascii="仿宋_GB2312" w:hAnsi="Times New Roman" w:eastAsia="仿宋_GB2312" w:cs="仿宋_GB2312"/>
                <w:kern w:val="0"/>
                <w:sz w:val="24"/>
                <w:highlight w:val="none"/>
                <w:lang w:val="en-US" w:eastAsia="zh-CN" w:bidi="ar"/>
              </w:rPr>
            </w:pPr>
            <w:r>
              <w:rPr>
                <w:rFonts w:hint="eastAsia" w:ascii="仿宋_GB2312" w:hAnsi="Times New Roman" w:eastAsia="仿宋_GB2312" w:cs="仿宋_GB2312"/>
                <w:kern w:val="0"/>
                <w:sz w:val="24"/>
                <w:highlight w:val="none"/>
                <w:lang w:val="en-US" w:eastAsia="zh-CN" w:bidi="ar"/>
              </w:rPr>
              <w:t>4.基金投资期结束之日对人工智能上下游及相关数字经济产业的股权投资金额累计不得低于省级母基金对基金实缴出资额的2倍</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仿宋_GB2312" w:hAnsi="Times New Roman" w:eastAsia="仿宋_GB2312" w:cs="仿宋_GB2312"/>
                <w:kern w:val="0"/>
                <w:sz w:val="24"/>
                <w:highlight w:val="none"/>
                <w:lang w:bidi="ar"/>
              </w:rPr>
            </w:pPr>
            <w:r>
              <w:rPr>
                <w:rFonts w:hint="eastAsia" w:ascii="仿宋_GB2312" w:hAnsi="Times New Roman" w:eastAsia="仿宋_GB2312" w:cs="仿宋_GB2312"/>
                <w:kern w:val="0"/>
                <w:sz w:val="24"/>
                <w:highlight w:val="none"/>
                <w:lang w:val="en-US" w:eastAsia="zh-CN" w:bidi="ar"/>
              </w:rPr>
              <w:t>5</w:t>
            </w:r>
            <w:r>
              <w:rPr>
                <w:rFonts w:hint="eastAsia" w:ascii="仿宋_GB2312" w:hAnsi="Times New Roman" w:eastAsia="仿宋_GB2312" w:cs="仿宋_GB2312"/>
                <w:kern w:val="0"/>
                <w:sz w:val="24"/>
                <w:highlight w:val="none"/>
                <w:lang w:bidi="ar"/>
              </w:rPr>
              <w:t>.基金接受绩效评价，结果与省级母基金出资份额对应的管理费（含执行事务合伙人费用等）、业绩报酬、后续出资挂钩。</w:t>
            </w:r>
          </w:p>
        </w:tc>
      </w:tr>
    </w:tbl>
    <w:p>
      <w:pPr>
        <w:ind w:firstLine="640"/>
        <w:rPr>
          <w:rFonts w:ascii="仿宋_GB2312" w:eastAsia="仿宋_GB2312" w:cs="Times New Roman"/>
          <w:sz w:val="32"/>
          <w:szCs w:val="32"/>
        </w:rPr>
      </w:pPr>
      <w:r>
        <w:rPr>
          <w:rFonts w:hint="eastAsia" w:ascii="仿宋_GB2312" w:eastAsia="仿宋_GB2312" w:cs="仿宋_GB2312"/>
          <w:sz w:val="32"/>
          <w:szCs w:val="32"/>
          <w:lang w:bidi="ar"/>
        </w:rPr>
        <w:t xml:space="preserve"> </w:t>
      </w:r>
      <w:r>
        <w:rPr>
          <w:rFonts w:hint="eastAsia" w:ascii="仿宋_GB2312" w:eastAsia="仿宋_GB2312" w:cs="Times New Roman"/>
          <w:sz w:val="32"/>
          <w:szCs w:val="32"/>
        </w:rPr>
        <w:t xml:space="preserve">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我公司承诺上述内容真实、准确。我公司将按照上述基金设立要求设计基金方案及签署后续协议</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基金具体方案以正式提交的申报材料为准。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 xml:space="preserve"> </w:t>
      </w:r>
    </w:p>
    <w:p>
      <w:pPr>
        <w:pStyle w:val="3"/>
        <w:widowControl/>
        <w:ind w:firstLine="640"/>
        <w:rPr>
          <w:rFonts w:hint="default"/>
        </w:rPr>
      </w:pPr>
      <w:r>
        <w:t xml:space="preserve"> </w:t>
      </w:r>
    </w:p>
    <w:p>
      <w:pPr>
        <w:wordWrap w:val="0"/>
        <w:spacing w:line="560" w:lineRule="exact"/>
        <w:ind w:firstLine="640" w:firstLineChars="200"/>
        <w:jc w:val="right"/>
        <w:rPr>
          <w:rFonts w:ascii="仿宋_GB2312" w:eastAsia="仿宋_GB2312" w:cs="Times New Roman"/>
          <w:bCs/>
          <w:sz w:val="32"/>
          <w:szCs w:val="32"/>
        </w:rPr>
      </w:pPr>
      <w:r>
        <w:rPr>
          <w:rFonts w:hint="eastAsia" w:ascii="仿宋_GB2312" w:eastAsia="仿宋_GB2312" w:cs="仿宋_GB2312"/>
          <w:bCs/>
          <w:sz w:val="32"/>
          <w:szCs w:val="32"/>
          <w:lang w:bidi="ar"/>
        </w:rPr>
        <w:t>申报机构（公章）：</w:t>
      </w:r>
      <w:r>
        <w:rPr>
          <w:rFonts w:hint="eastAsia" w:ascii="仿宋_GB2312" w:eastAsia="仿宋_GB2312" w:cs="Times New Roman"/>
          <w:bCs/>
          <w:sz w:val="32"/>
          <w:szCs w:val="32"/>
          <w:lang w:bidi="ar"/>
        </w:rPr>
        <w:t xml:space="preserve">          </w:t>
      </w:r>
    </w:p>
    <w:p>
      <w:pPr>
        <w:widowControl/>
        <w:topLinePunct/>
        <w:autoSpaceDE w:val="0"/>
        <w:spacing w:line="600" w:lineRule="exact"/>
        <w:ind w:firstLine="640" w:firstLineChars="200"/>
        <w:jc w:val="right"/>
        <w:rPr>
          <w:rFonts w:ascii="仿宋_GB2312" w:eastAsia="仿宋_GB2312" w:cs="Times New Roman"/>
          <w:sz w:val="32"/>
          <w:szCs w:val="32"/>
        </w:rPr>
      </w:pPr>
      <w:r>
        <w:rPr>
          <w:rFonts w:hint="eastAsia" w:ascii="仿宋_GB2312" w:eastAsia="仿宋_GB2312" w:cs="仿宋_GB2312"/>
          <w:bCs/>
          <w:sz w:val="32"/>
          <w:szCs w:val="32"/>
          <w:lang w:bidi="ar"/>
        </w:rPr>
        <w:t>日期：</w:t>
      </w:r>
      <w:r>
        <w:rPr>
          <w:rFonts w:hint="eastAsia" w:ascii="仿宋_GB2312" w:eastAsia="仿宋_GB2312" w:cs="Times New Roman"/>
          <w:bCs/>
          <w:sz w:val="32"/>
          <w:szCs w:val="32"/>
          <w:lang w:bidi="ar"/>
        </w:rPr>
        <w:t xml:space="preserve">    </w:t>
      </w:r>
      <w:r>
        <w:rPr>
          <w:rFonts w:hint="eastAsia" w:ascii="仿宋_GB2312" w:eastAsia="仿宋_GB2312" w:cs="仿宋_GB2312"/>
          <w:bCs/>
          <w:sz w:val="32"/>
          <w:szCs w:val="32"/>
          <w:lang w:bidi="ar"/>
        </w:rPr>
        <w:t>年</w:t>
      </w:r>
      <w:r>
        <w:rPr>
          <w:rFonts w:hint="eastAsia" w:ascii="仿宋_GB2312" w:eastAsia="仿宋_GB2312" w:cs="Times New Roman"/>
          <w:bCs/>
          <w:sz w:val="32"/>
          <w:szCs w:val="32"/>
          <w:lang w:bidi="ar"/>
        </w:rPr>
        <w:t xml:space="preserve">   </w:t>
      </w:r>
      <w:r>
        <w:rPr>
          <w:rFonts w:hint="eastAsia" w:ascii="仿宋_GB2312" w:eastAsia="仿宋_GB2312" w:cs="仿宋_GB2312"/>
          <w:bCs/>
          <w:sz w:val="32"/>
          <w:szCs w:val="32"/>
          <w:lang w:bidi="ar"/>
        </w:rPr>
        <w:t>月</w:t>
      </w:r>
      <w:r>
        <w:rPr>
          <w:rFonts w:hint="eastAsia" w:ascii="仿宋_GB2312" w:eastAsia="仿宋_GB2312" w:cs="Times New Roman"/>
          <w:bCs/>
          <w:sz w:val="32"/>
          <w:szCs w:val="32"/>
          <w:lang w:bidi="ar"/>
        </w:rPr>
        <w:t xml:space="preserve">   </w:t>
      </w:r>
      <w:r>
        <w:rPr>
          <w:rFonts w:hint="eastAsia" w:ascii="仿宋_GB2312" w:eastAsia="仿宋_GB2312" w:cs="仿宋_GB2312"/>
          <w:bCs/>
          <w:sz w:val="32"/>
          <w:szCs w:val="32"/>
          <w:lang w:bidi="ar"/>
        </w:rPr>
        <w:t>日</w:t>
      </w:r>
    </w:p>
    <w:p>
      <w:pPr>
        <w:pStyle w:val="7"/>
        <w:ind w:firstLine="0" w:firstLineChars="0"/>
      </w:pPr>
    </w:p>
    <w:sectPr>
      <w:footerReference r:id="rId3" w:type="default"/>
      <w:pgSz w:w="11906" w:h="16838"/>
      <w:pgMar w:top="1417"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81B33"/>
    <w:rsid w:val="00034440"/>
    <w:rsid w:val="000954BE"/>
    <w:rsid w:val="000A1E09"/>
    <w:rsid w:val="002669D8"/>
    <w:rsid w:val="003342A4"/>
    <w:rsid w:val="0048101E"/>
    <w:rsid w:val="00646EE3"/>
    <w:rsid w:val="00681B37"/>
    <w:rsid w:val="008643CE"/>
    <w:rsid w:val="00D0424C"/>
    <w:rsid w:val="00DB06AC"/>
    <w:rsid w:val="00E14184"/>
    <w:rsid w:val="00EA1D9E"/>
    <w:rsid w:val="05306427"/>
    <w:rsid w:val="06E45903"/>
    <w:rsid w:val="09EE3807"/>
    <w:rsid w:val="17CF0D95"/>
    <w:rsid w:val="19D81B33"/>
    <w:rsid w:val="1DC63EBF"/>
    <w:rsid w:val="1EF624B6"/>
    <w:rsid w:val="2D857036"/>
    <w:rsid w:val="32034C0B"/>
    <w:rsid w:val="4035661D"/>
    <w:rsid w:val="404933A9"/>
    <w:rsid w:val="452A1772"/>
    <w:rsid w:val="466656BE"/>
    <w:rsid w:val="48CF7B4C"/>
    <w:rsid w:val="4D0C515D"/>
    <w:rsid w:val="50DD710C"/>
    <w:rsid w:val="57A86C81"/>
    <w:rsid w:val="65805492"/>
    <w:rsid w:val="6FAB5811"/>
    <w:rsid w:val="72E60FDE"/>
    <w:rsid w:val="7E5D5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spacing w:line="560" w:lineRule="exact"/>
      <w:ind w:firstLine="420" w:firstLineChars="200"/>
    </w:pPr>
    <w:rPr>
      <w:rFonts w:hint="eastAsia" w:ascii="仿宋_GB2312" w:eastAsia="仿宋_GB2312" w:cs="Times New Roman"/>
      <w:sz w:val="32"/>
      <w:szCs w:val="32"/>
    </w:rPr>
  </w:style>
  <w:style w:type="paragraph" w:styleId="4">
    <w:name w:val="Body Text"/>
    <w:basedOn w:val="1"/>
    <w:next w:val="5"/>
    <w:qFormat/>
    <w:uiPriority w:val="0"/>
    <w:pPr>
      <w:jc w:val="center"/>
    </w:pPr>
    <w:rPr>
      <w:rFonts w:eastAsia="方正小标宋简体"/>
      <w:b/>
      <w:color w:val="FF0000"/>
      <w:sz w:val="84"/>
    </w:rPr>
  </w:style>
  <w:style w:type="paragraph" w:styleId="5">
    <w:name w:val="Title"/>
    <w:basedOn w:val="1"/>
    <w:next w:val="1"/>
    <w:unhideWhenUsed/>
    <w:qFormat/>
    <w:uiPriority w:val="0"/>
    <w:pPr>
      <w:spacing w:beforeLines="0" w:afterLines="0" w:line="580" w:lineRule="exact"/>
      <w:ind w:firstLine="634" w:firstLineChars="200"/>
      <w:jc w:val="left"/>
      <w:textAlignment w:val="center"/>
      <w:outlineLvl w:val="2"/>
    </w:pPr>
    <w:rPr>
      <w:rFonts w:hint="default" w:ascii="Calibri Light" w:hAnsi="Calibri Light" w:cs="Times New Roman"/>
      <w:b/>
      <w:sz w:val="32"/>
      <w:szCs w:val="32"/>
    </w:rPr>
  </w:style>
  <w:style w:type="paragraph" w:styleId="6">
    <w:name w:val="annotation text"/>
    <w:basedOn w:val="1"/>
    <w:qFormat/>
    <w:uiPriority w:val="0"/>
    <w:pPr>
      <w:spacing w:line="400" w:lineRule="exact"/>
      <w:jc w:val="left"/>
    </w:pPr>
    <w:rPr>
      <w:rFonts w:hint="eastAsia" w:ascii="仿宋_GB2312" w:eastAsia="仿宋_GB2312" w:cs="Times New Roman"/>
      <w:sz w:val="24"/>
    </w:rPr>
  </w:style>
  <w:style w:type="paragraph" w:styleId="7">
    <w:name w:val="Body Text Indent 2"/>
    <w:basedOn w:val="1"/>
    <w:qFormat/>
    <w:uiPriority w:val="0"/>
    <w:pPr>
      <w:spacing w:line="360" w:lineRule="auto"/>
      <w:ind w:right="279" w:rightChars="133" w:firstLine="640" w:firstLineChars="200"/>
    </w:pPr>
    <w:rPr>
      <w:rFonts w:ascii="仿宋_GB2312" w:eastAsia="仿宋_GB2312"/>
      <w:sz w:val="32"/>
      <w:szCs w:val="32"/>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Table Paragraph"/>
    <w:basedOn w:val="1"/>
    <w:qFormat/>
    <w:uiPriority w:val="0"/>
    <w:pPr>
      <w:autoSpaceDE w:val="0"/>
      <w:autoSpaceDN w:val="0"/>
      <w:spacing w:line="400" w:lineRule="exact"/>
      <w:jc w:val="center"/>
    </w:pPr>
    <w:rPr>
      <w:rFonts w:hint="eastAsia" w:ascii="仿宋_GB2312" w:eastAsia="仿宋_GB2312" w:cs="Times New Roman"/>
      <w:kern w:val="0"/>
      <w:sz w:val="24"/>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页眉 字符"/>
    <w:basedOn w:val="12"/>
    <w:link w:val="9"/>
    <w:qFormat/>
    <w:uiPriority w:val="0"/>
    <w:rPr>
      <w:kern w:val="2"/>
      <w:sz w:val="18"/>
      <w:szCs w:val="18"/>
    </w:rPr>
  </w:style>
  <w:style w:type="character" w:customStyle="1" w:styleId="17">
    <w:name w:val="页脚 字符"/>
    <w:basedOn w:val="12"/>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544</Words>
  <Characters>561</Characters>
  <Lines>56</Lines>
  <Paragraphs>38</Paragraphs>
  <TotalTime>1</TotalTime>
  <ScaleCrop>false</ScaleCrop>
  <LinksUpToDate>false</LinksUpToDate>
  <CharactersWithSpaces>1067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2025-06-25T09:19:00Z</dcterms:created>
  <dc:creator>lenovo-L</dc:creator>
  <cp:lastModifiedBy>lenovo</cp:lastModifiedBy>
  <dcterms:modified xsi:type="dcterms:W3CDTF">2026-04-08T07:43:36Z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D18C7E7E5C884E708A07E109B16A2954</vt:lpwstr>
  </property>
</Properties>
</file>