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宋体" w:eastAsia="黑体" w:cs="黑体"/>
          <w:bCs/>
          <w:sz w:val="32"/>
          <w:szCs w:val="32"/>
          <w:lang w:bidi="ar"/>
        </w:rPr>
      </w:pPr>
      <w:r>
        <w:rPr>
          <w:rFonts w:hint="eastAsia" w:ascii="黑体" w:hAnsi="宋体" w:eastAsia="黑体" w:cs="黑体"/>
          <w:bCs/>
          <w:sz w:val="32"/>
          <w:szCs w:val="32"/>
          <w:lang w:bidi="ar"/>
        </w:rPr>
        <w:t>附件</w:t>
      </w:r>
    </w:p>
    <w:p>
      <w:pPr>
        <w:spacing w:line="560" w:lineRule="exact"/>
        <w:jc w:val="left"/>
        <w:rPr>
          <w:rFonts w:hint="eastAsia" w:ascii="黑体" w:hAnsi="宋体" w:eastAsia="黑体" w:cs="黑体"/>
          <w:bCs/>
          <w:sz w:val="32"/>
          <w:szCs w:val="32"/>
          <w:lang w:bidi="ar"/>
        </w:rPr>
      </w:pPr>
    </w:p>
    <w:p>
      <w:pPr>
        <w:spacing w:line="560" w:lineRule="exact"/>
        <w:jc w:val="center"/>
        <w:rPr>
          <w:rFonts w:ascii="仿宋_GB2312" w:eastAsia="仿宋_GB2312" w:cs="仿宋_GB2312"/>
          <w:b/>
          <w:sz w:val="28"/>
          <w:szCs w:val="28"/>
          <w:lang w:bidi="ar"/>
        </w:rPr>
      </w:pPr>
      <w:r>
        <w:rPr>
          <w:rFonts w:hint="eastAsia" w:ascii="方正小标宋_GBK" w:hAnsi="方正小标宋_GBK" w:eastAsia="方正小标宋_GBK" w:cs="方正小标宋_GBK"/>
          <w:bCs/>
          <w:sz w:val="36"/>
          <w:szCs w:val="36"/>
          <w:lang w:val="en-US" w:eastAsia="zh-CN" w:bidi="ar"/>
        </w:rPr>
        <w:t>福建省战略性新兴产业基金</w:t>
      </w:r>
      <w:r>
        <w:rPr>
          <w:rFonts w:hint="eastAsia" w:ascii="方正小标宋_GBK" w:hAnsi="方正小标宋_GBK" w:eastAsia="方正小标宋_GBK" w:cs="方正小标宋_GBK"/>
          <w:bCs/>
          <w:sz w:val="36"/>
          <w:szCs w:val="36"/>
          <w:lang w:bidi="ar"/>
        </w:rPr>
        <w:t>管理机构资质合规自评表</w:t>
      </w:r>
      <w:r>
        <w:rPr>
          <w:rFonts w:hint="eastAsia" w:ascii="仿宋_GB2312" w:eastAsia="仿宋_GB2312" w:cs="仿宋_GB2312"/>
          <w:b/>
          <w:sz w:val="28"/>
          <w:szCs w:val="28"/>
          <w:lang w:bidi="ar"/>
        </w:rPr>
        <w:t xml:space="preserve"> </w:t>
      </w:r>
    </w:p>
    <w:p>
      <w:pPr>
        <w:pStyle w:val="7"/>
      </w:pPr>
    </w:p>
    <w:p>
      <w:pPr>
        <w:spacing w:line="560" w:lineRule="exact"/>
        <w:jc w:val="left"/>
        <w:rPr>
          <w:rFonts w:ascii="仿宋_GB2312" w:eastAsia="仿宋_GB2312" w:cs="仿宋_GB2312"/>
          <w:b/>
          <w:sz w:val="28"/>
          <w:szCs w:val="28"/>
        </w:rPr>
      </w:pPr>
      <w:r>
        <w:rPr>
          <w:rFonts w:hint="eastAsia" w:ascii="仿宋_GB2312" w:eastAsia="仿宋_GB2312" w:cs="仿宋_GB2312"/>
          <w:b/>
          <w:sz w:val="28"/>
          <w:szCs w:val="28"/>
          <w:lang w:bidi="ar"/>
        </w:rPr>
        <w:t>拟申报机构名称：</w:t>
      </w:r>
    </w:p>
    <w:p>
      <w:pPr>
        <w:autoSpaceDE w:val="0"/>
        <w:spacing w:line="280" w:lineRule="exact"/>
        <w:jc w:val="left"/>
        <w:rPr>
          <w:rFonts w:ascii="仿宋_GB2312" w:eastAsia="仿宋_GB2312" w:cs="仿宋_GB2312"/>
          <w:b/>
          <w:sz w:val="28"/>
          <w:szCs w:val="28"/>
        </w:rPr>
      </w:pPr>
      <w:r>
        <w:rPr>
          <w:rFonts w:hint="eastAsia" w:ascii="仿宋_GB2312" w:eastAsia="仿宋_GB2312" w:cs="仿宋_GB2312"/>
          <w:b/>
          <w:sz w:val="28"/>
          <w:szCs w:val="28"/>
          <w:lang w:bidi="ar"/>
        </w:rPr>
        <w:t xml:space="preserve"> </w:t>
      </w:r>
    </w:p>
    <w:p>
      <w:pPr>
        <w:pStyle w:val="2"/>
        <w:widowControl/>
        <w:snapToGrid w:val="0"/>
        <w:spacing w:beforeAutospacing="0" w:afterAutospacing="0"/>
        <w:ind w:firstLine="643" w:firstLineChars="200"/>
        <w:rPr>
          <w:rFonts w:hint="default" w:ascii="仿宋_GB2312" w:hAnsi="仿宋_GB2312" w:eastAsia="黑体"/>
          <w:sz w:val="32"/>
          <w:szCs w:val="32"/>
        </w:rPr>
      </w:pPr>
      <w:r>
        <w:rPr>
          <w:rFonts w:ascii="黑体" w:eastAsia="黑体" w:cs="黑体"/>
          <w:sz w:val="32"/>
          <w:szCs w:val="32"/>
        </w:rPr>
        <w:t>一、申报机构要求</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4929"/>
        <w:gridCol w:w="131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3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项目</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是否符合</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restart"/>
            <w:tcBorders>
              <w:top w:val="nil"/>
              <w:left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管理机构基本资质</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1.依法设立的公司或合伙企业，实收资本不低于1000万元人民币，在中国证券投资基金业协会登记为私募股权、创业投资基金管理人。</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2.至少有3名具备3年以上资产管理工作经验的高级管理人员。</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3.基金管理机构及其董事、监事、高级管理人员及其他从业人员在最近三年无重大违法行为。</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4.有符合要求的营业场所、安全防范设施和与基金管理业务有关的其他设施。</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5.有良好的内部治理结构和风险控制制度。</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cs="仿宋_GB2312"/>
              </w:rPr>
            </w:pPr>
            <w:r>
              <w:rPr>
                <w:rFonts w:hAnsi="Times New Roman" w:cs="仿宋_GB2312"/>
              </w:rPr>
              <w:t>6.法律法规规定的其他条件和基金发起人认为应当具备的其他条件。</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管理机构出资情况</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eastAsia" w:hAnsi="Times New Roman" w:eastAsia="仿宋_GB2312"/>
                <w:lang w:eastAsia="zh-CN"/>
              </w:rPr>
            </w:pPr>
            <w:r>
              <w:rPr>
                <w:rFonts w:hint="default" w:hAnsi="Times New Roman"/>
              </w:rPr>
              <w:t>基金管理机构及其关联方出资</w:t>
            </w:r>
            <w:r>
              <w:rPr>
                <w:rFonts w:hint="eastAsia" w:hAnsi="Times New Roman"/>
                <w:lang w:val="en-US" w:eastAsia="zh-CN"/>
              </w:rPr>
              <w:t>比例</w:t>
            </w:r>
            <w:r>
              <w:rPr>
                <w:rFonts w:hint="default" w:hAnsi="Times New Roman"/>
              </w:rPr>
              <w:t>不低于</w:t>
            </w:r>
            <w:r>
              <w:rPr>
                <w:rFonts w:hint="default" w:hAnsi="Times New Roman"/>
                <w:lang w:val="en-US" w:eastAsia="zh-CN"/>
              </w:rPr>
              <w:t>3</w:t>
            </w:r>
            <w:r>
              <w:rPr>
                <w:rFonts w:hint="default" w:hAnsi="Times New Roman"/>
              </w:rPr>
              <w:t>0%</w:t>
            </w:r>
            <w:r>
              <w:rPr>
                <w:rFonts w:hint="eastAsia" w:hAnsi="Times New Roman"/>
                <w:lang w:eastAsia="zh-CN"/>
              </w:rPr>
              <w:t>。</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restart"/>
            <w:tcBorders>
              <w:top w:val="single" w:color="auto" w:sz="4" w:space="0"/>
              <w:left w:val="single" w:color="auto" w:sz="4" w:space="0"/>
              <w:right w:val="single" w:color="auto" w:sz="4" w:space="0"/>
            </w:tcBorders>
            <w:shd w:val="clear" w:color="auto" w:fill="auto"/>
            <w:vAlign w:val="center"/>
          </w:tcPr>
          <w:p>
            <w:pPr>
              <w:pStyle w:val="14"/>
              <w:widowControl/>
              <w:rPr>
                <w:rFonts w:hint="default" w:hAnsi="Times New Roman"/>
                <w:b/>
                <w:bCs/>
                <w:highlight w:val="none"/>
              </w:rPr>
            </w:pPr>
            <w:r>
              <w:rPr>
                <w:rFonts w:hint="default" w:hAnsi="Times New Roman"/>
                <w:b/>
                <w:bCs/>
                <w:highlight w:val="none"/>
              </w:rPr>
              <w:t>募资</w:t>
            </w:r>
            <w:r>
              <w:rPr>
                <w:rFonts w:hint="default" w:hAnsi="Times New Roman"/>
                <w:b/>
                <w:bCs/>
                <w:highlight w:val="none"/>
                <w:lang w:val="en-US" w:eastAsia="zh-CN"/>
              </w:rPr>
              <w:t>及管理</w:t>
            </w:r>
            <w:r>
              <w:rPr>
                <w:rFonts w:hint="default" w:hAnsi="Times New Roman"/>
                <w:b/>
                <w:bCs/>
                <w:highlight w:val="none"/>
              </w:rPr>
              <w:t>能力</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highlight w:val="none"/>
              </w:rPr>
            </w:pPr>
            <w:r>
              <w:rPr>
                <w:rFonts w:hint="default" w:hAnsi="Times New Roman"/>
                <w:highlight w:val="none"/>
              </w:rPr>
              <w:t>需提供出资承诺函或其他出资证明文件。</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pStyle w:val="14"/>
              <w:widowControl/>
              <w:rPr>
                <w:rFonts w:hAnsi="Times New Roman" w:cs="仿宋_GB2312"/>
                <w:b/>
                <w:bCs/>
                <w:highlight w:val="none"/>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eastAsia" w:hAnsi="Times New Roman" w:cs="楷体"/>
                <w:highlight w:val="none"/>
              </w:rPr>
            </w:pPr>
            <w:r>
              <w:rPr>
                <w:rFonts w:hint="eastAsia" w:hAnsi="Times New Roman" w:cs="楷体"/>
                <w:highlight w:val="none"/>
              </w:rPr>
              <w:t>需管理过国家级基金、央企、保险机构或市值超过1000亿元上市公司及其关联方之一出资的</w:t>
            </w:r>
            <w:r>
              <w:rPr>
                <w:rFonts w:hint="eastAsia" w:hAnsi="Times New Roman" w:cs="楷体"/>
                <w:highlight w:val="none"/>
                <w:lang w:val="en-US" w:eastAsia="zh-CN"/>
              </w:rPr>
              <w:t>基金</w:t>
            </w:r>
            <w:bookmarkStart w:id="0" w:name="_GoBack"/>
            <w:bookmarkEnd w:id="0"/>
            <w:r>
              <w:rPr>
                <w:rFonts w:hint="eastAsia" w:hAnsi="Times New Roman" w:cs="楷体"/>
                <w:highlight w:val="none"/>
              </w:rPr>
              <w:t>。</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bottom w:val="single" w:color="auto" w:sz="4" w:space="0"/>
              <w:right w:val="single" w:color="auto" w:sz="4" w:space="0"/>
            </w:tcBorders>
            <w:shd w:val="clear" w:color="auto" w:fill="auto"/>
            <w:vAlign w:val="center"/>
          </w:tcPr>
          <w:p>
            <w:pPr>
              <w:pStyle w:val="14"/>
              <w:widowControl/>
              <w:rPr>
                <w:rFonts w:hAnsi="Times New Roman" w:cs="仿宋_GB2312"/>
                <w:b/>
                <w:bCs/>
                <w:highlight w:val="none"/>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eastAsia" w:hAnsi="Times New Roman" w:cs="楷体"/>
                <w:highlight w:val="none"/>
              </w:rPr>
            </w:pPr>
            <w:r>
              <w:rPr>
                <w:rFonts w:hint="eastAsia" w:hAnsi="Times New Roman" w:cs="楷体"/>
                <w:highlight w:val="none"/>
              </w:rPr>
              <w:t>在管基金实缴余额不低于100亿元人民币。</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bl>
    <w:p>
      <w:pPr>
        <w:pStyle w:val="6"/>
        <w:widowControl/>
        <w:rPr>
          <w:rFonts w:cs="仿宋_GB2312"/>
        </w:rPr>
      </w:pPr>
      <w:r>
        <w:rPr>
          <w:rFonts w:cs="仿宋_GB2312"/>
        </w:rPr>
        <w:t>注：申报机构应开展合规性自评，并在是否符合一栏填写“√”或“х”，需要进一步说明的事项请填写在情况说明栏内。</w:t>
      </w:r>
    </w:p>
    <w:p>
      <w:pPr>
        <w:pStyle w:val="6"/>
        <w:widowControl/>
        <w:rPr>
          <w:rFonts w:cs="仿宋_GB2312"/>
        </w:rPr>
      </w:pPr>
    </w:p>
    <w:p>
      <w:pPr>
        <w:pStyle w:val="6"/>
        <w:widowControl/>
        <w:rPr>
          <w:rFonts w:hint="default" w:cs="仿宋_GB2312"/>
        </w:rPr>
      </w:pPr>
    </w:p>
    <w:p>
      <w:pPr>
        <w:pStyle w:val="2"/>
        <w:widowControl/>
        <w:ind w:firstLine="643" w:firstLineChars="200"/>
        <w:rPr>
          <w:rFonts w:hint="default" w:ascii="仿宋_GB2312" w:hAnsi="仿宋_GB2312" w:eastAsia="黑体"/>
          <w:sz w:val="32"/>
          <w:szCs w:val="32"/>
        </w:rPr>
      </w:pPr>
      <w:r>
        <w:rPr>
          <w:rFonts w:ascii="黑体" w:eastAsia="黑体" w:cs="黑体"/>
          <w:sz w:val="32"/>
          <w:szCs w:val="32"/>
        </w:rPr>
        <w:t>二、基金设立要求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cs="仿宋_GB2312"/>
                <w:b/>
                <w:sz w:val="22"/>
                <w:szCs w:val="22"/>
                <w:highlight w:val="none"/>
              </w:rPr>
            </w:pPr>
            <w:r>
              <w:rPr>
                <w:rFonts w:hAnsi="Times New Roman" w:cs="仿宋_GB2312"/>
                <w:b/>
                <w:bCs/>
                <w:highlight w:val="none"/>
              </w:rPr>
              <w:t>基金要素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default" w:ascii="仿宋_GB2312" w:hAnsi="Times New Roman" w:eastAsia="仿宋_GB2312" w:cs="仿宋_GB2312"/>
                <w:kern w:val="0"/>
                <w:sz w:val="24"/>
                <w:highlight w:val="none"/>
                <w:lang w:val="en-US" w:eastAsia="zh-CN" w:bidi="ar"/>
              </w:rPr>
            </w:pPr>
            <w:r>
              <w:rPr>
                <w:rFonts w:hint="eastAsia" w:ascii="仿宋_GB2312" w:hAnsi="Times New Roman" w:eastAsia="仿宋_GB2312" w:cs="仿宋_GB2312"/>
                <w:kern w:val="0"/>
                <w:sz w:val="24"/>
                <w:highlight w:val="none"/>
                <w:lang w:val="en-US" w:eastAsia="zh-CN" w:bidi="ar"/>
              </w:rPr>
              <w:t>1.基金目标规模50-100亿元。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楷体"/>
                <w:kern w:val="0"/>
                <w:sz w:val="24"/>
                <w:highlight w:val="none"/>
              </w:rPr>
            </w:pPr>
            <w:r>
              <w:rPr>
                <w:rFonts w:hint="eastAsia" w:ascii="仿宋_GB2312" w:hAnsi="Times New Roman" w:eastAsia="仿宋_GB2312" w:cs="仿宋_GB2312"/>
                <w:kern w:val="0"/>
                <w:sz w:val="24"/>
                <w:highlight w:val="none"/>
                <w:lang w:val="en-US" w:eastAsia="zh-CN" w:bidi="ar"/>
              </w:rPr>
              <w:t>2</w:t>
            </w:r>
            <w:r>
              <w:rPr>
                <w:rFonts w:hint="eastAsia" w:ascii="仿宋_GB2312" w:hAnsi="Times New Roman" w:eastAsia="仿宋_GB2312" w:cs="仿宋_GB2312"/>
                <w:kern w:val="0"/>
                <w:sz w:val="24"/>
                <w:highlight w:val="none"/>
                <w:lang w:bidi="ar"/>
              </w:rPr>
              <w:t>.省级母基金出资</w:t>
            </w:r>
            <w:r>
              <w:rPr>
                <w:rFonts w:hint="eastAsia" w:ascii="仿宋_GB2312" w:hAnsi="Times New Roman" w:eastAsia="仿宋_GB2312" w:cs="仿宋_GB2312"/>
                <w:kern w:val="0"/>
                <w:sz w:val="24"/>
                <w:highlight w:val="none"/>
                <w:lang w:val="en-US" w:eastAsia="zh-CN" w:bidi="ar"/>
              </w:rPr>
              <w:t>比例</w:t>
            </w:r>
            <w:r>
              <w:rPr>
                <w:rFonts w:hint="eastAsia" w:ascii="仿宋_GB2312" w:hAnsi="Times New Roman" w:eastAsia="仿宋_GB2312" w:cs="仿宋_GB2312"/>
                <w:kern w:val="0"/>
                <w:sz w:val="24"/>
                <w:highlight w:val="none"/>
                <w:lang w:bidi="ar"/>
              </w:rPr>
              <w:t>不超过20%。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楷体"/>
                <w:kern w:val="0"/>
                <w:sz w:val="24"/>
                <w:highlight w:val="none"/>
              </w:rPr>
            </w:pPr>
            <w:r>
              <w:rPr>
                <w:rFonts w:hint="eastAsia" w:ascii="仿宋_GB2312" w:hAnsi="Times New Roman" w:eastAsia="仿宋_GB2312" w:cs="仿宋_GB2312"/>
                <w:kern w:val="0"/>
                <w:sz w:val="24"/>
                <w:highlight w:val="none"/>
                <w:lang w:val="en-US" w:eastAsia="zh-CN" w:bidi="ar"/>
              </w:rPr>
              <w:t>3</w:t>
            </w:r>
            <w:r>
              <w:rPr>
                <w:rFonts w:hint="eastAsia" w:ascii="仿宋_GB2312" w:hAnsi="Times New Roman" w:eastAsia="仿宋_GB2312" w:cs="仿宋_GB2312"/>
                <w:kern w:val="0"/>
                <w:sz w:val="24"/>
                <w:highlight w:val="none"/>
                <w:lang w:bidi="ar"/>
              </w:rPr>
              <w:t>.基金注册地应为福建省内。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楷体"/>
                <w:kern w:val="0"/>
                <w:sz w:val="24"/>
                <w:highlight w:val="none"/>
              </w:rPr>
            </w:pPr>
            <w:r>
              <w:rPr>
                <w:rFonts w:hint="eastAsia" w:ascii="仿宋_GB2312" w:hAnsi="Times New Roman" w:eastAsia="仿宋_GB2312" w:cs="仿宋_GB2312"/>
                <w:kern w:val="0"/>
                <w:sz w:val="24"/>
                <w:highlight w:val="none"/>
                <w:lang w:val="en-US" w:eastAsia="zh-CN" w:bidi="ar"/>
              </w:rPr>
              <w:t>4</w:t>
            </w:r>
            <w:r>
              <w:rPr>
                <w:rFonts w:hint="eastAsia" w:ascii="仿宋_GB2312" w:hAnsi="Times New Roman" w:eastAsia="仿宋_GB2312" w:cs="仿宋_GB2312"/>
                <w:kern w:val="0"/>
                <w:sz w:val="24"/>
                <w:highlight w:val="none"/>
                <w:lang w:bidi="ar"/>
              </w:rPr>
              <w:t>.基金最终投资于福建省内的资金原则上不低于福建省各级政府出资额的1倍。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仿宋_GB2312"/>
                <w:kern w:val="0"/>
                <w:sz w:val="24"/>
                <w:highlight w:val="none"/>
                <w:lang w:bidi="ar"/>
              </w:rPr>
            </w:pPr>
            <w:r>
              <w:rPr>
                <w:rFonts w:hint="eastAsia" w:ascii="仿宋_GB2312" w:hAnsi="Times New Roman" w:eastAsia="仿宋_GB2312" w:cs="仿宋_GB2312"/>
                <w:kern w:val="0"/>
                <w:sz w:val="24"/>
                <w:highlight w:val="none"/>
                <w:lang w:val="en-US" w:eastAsia="zh-CN" w:bidi="ar"/>
              </w:rPr>
              <w:t>5</w:t>
            </w:r>
            <w:r>
              <w:rPr>
                <w:rFonts w:hint="eastAsia" w:ascii="仿宋_GB2312" w:hAnsi="Times New Roman" w:eastAsia="仿宋_GB2312" w:cs="仿宋_GB2312"/>
                <w:kern w:val="0"/>
                <w:sz w:val="24"/>
                <w:highlight w:val="none"/>
                <w:lang w:bidi="ar"/>
              </w:rPr>
              <w:t>.鼓励基金管理机构与福建金投基金合资设立普通合伙人，或采取双GP架构。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仿宋_GB2312"/>
                <w:kern w:val="0"/>
                <w:sz w:val="24"/>
                <w:highlight w:val="none"/>
                <w:lang w:bidi="ar"/>
              </w:rPr>
            </w:pPr>
            <w:r>
              <w:rPr>
                <w:rFonts w:hint="eastAsia" w:ascii="仿宋_GB2312" w:hAnsi="Times New Roman" w:eastAsia="仿宋_GB2312" w:cs="仿宋_GB2312"/>
                <w:kern w:val="0"/>
                <w:sz w:val="24"/>
                <w:highlight w:val="none"/>
                <w:lang w:val="en-US" w:eastAsia="zh-CN" w:bidi="ar"/>
              </w:rPr>
              <w:t>6</w:t>
            </w:r>
            <w:r>
              <w:rPr>
                <w:rFonts w:hint="eastAsia" w:ascii="仿宋_GB2312" w:hAnsi="Times New Roman" w:eastAsia="仿宋_GB2312" w:cs="仿宋_GB2312"/>
                <w:kern w:val="0"/>
                <w:sz w:val="24"/>
                <w:highlight w:val="none"/>
                <w:lang w:bidi="ar"/>
              </w:rPr>
              <w:t>.基金接受绩效评价，结果与省级母基金出资份额对应的管理费（含执行事务合伙人费用等）、业绩报酬、后续出资挂钩。</w:t>
            </w:r>
          </w:p>
        </w:tc>
      </w:tr>
    </w:tbl>
    <w:p>
      <w:pPr>
        <w:ind w:firstLine="640"/>
        <w:rPr>
          <w:rFonts w:ascii="仿宋_GB2312" w:eastAsia="仿宋_GB2312" w:cs="Times New Roman"/>
          <w:sz w:val="32"/>
          <w:szCs w:val="32"/>
        </w:rPr>
      </w:pPr>
      <w:r>
        <w:rPr>
          <w:rFonts w:hint="eastAsia" w:ascii="仿宋_GB2312" w:eastAsia="仿宋_GB2312" w:cs="仿宋_GB2312"/>
          <w:sz w:val="32"/>
          <w:szCs w:val="32"/>
          <w:lang w:bidi="ar"/>
        </w:rPr>
        <w:t xml:space="preserve"> </w:t>
      </w:r>
      <w:r>
        <w:rPr>
          <w:rFonts w:hint="eastAsia" w:ascii="仿宋_GB2312" w:eastAsia="仿宋_GB2312" w:cs="Times New Roman"/>
          <w:sz w:val="32"/>
          <w:szCs w:val="32"/>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我公司承诺上述内容真实、准确。我公司将按照上述基金设立要求设计基金方案及签署后续协议</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基金具体方案以正式提交的申报材料为准。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pStyle w:val="3"/>
        <w:widowControl/>
        <w:ind w:firstLine="640"/>
        <w:rPr>
          <w:rFonts w:hint="default"/>
        </w:rPr>
      </w:pPr>
      <w:r>
        <w:t xml:space="preserve"> </w:t>
      </w:r>
    </w:p>
    <w:p>
      <w:pPr>
        <w:wordWrap w:val="0"/>
        <w:spacing w:line="560" w:lineRule="exact"/>
        <w:ind w:firstLine="640" w:firstLineChars="200"/>
        <w:jc w:val="right"/>
        <w:rPr>
          <w:rFonts w:ascii="仿宋_GB2312" w:eastAsia="仿宋_GB2312" w:cs="Times New Roman"/>
          <w:bCs/>
          <w:sz w:val="32"/>
          <w:szCs w:val="32"/>
        </w:rPr>
      </w:pPr>
      <w:r>
        <w:rPr>
          <w:rFonts w:hint="eastAsia" w:ascii="仿宋_GB2312" w:eastAsia="仿宋_GB2312" w:cs="仿宋_GB2312"/>
          <w:bCs/>
          <w:sz w:val="32"/>
          <w:szCs w:val="32"/>
          <w:lang w:bidi="ar"/>
        </w:rPr>
        <w:t>申报机构（公章）：</w:t>
      </w:r>
      <w:r>
        <w:rPr>
          <w:rFonts w:hint="eastAsia" w:ascii="仿宋_GB2312" w:eastAsia="仿宋_GB2312" w:cs="Times New Roman"/>
          <w:bCs/>
          <w:sz w:val="32"/>
          <w:szCs w:val="32"/>
          <w:lang w:bidi="ar"/>
        </w:rPr>
        <w:t xml:space="preserve">          </w:t>
      </w:r>
    </w:p>
    <w:p>
      <w:pPr>
        <w:widowControl/>
        <w:topLinePunct/>
        <w:autoSpaceDE w:val="0"/>
        <w:spacing w:line="600" w:lineRule="exact"/>
        <w:ind w:firstLine="640" w:firstLineChars="200"/>
        <w:jc w:val="right"/>
        <w:rPr>
          <w:rFonts w:ascii="仿宋_GB2312" w:eastAsia="仿宋_GB2312" w:cs="Times New Roman"/>
          <w:sz w:val="32"/>
          <w:szCs w:val="32"/>
        </w:rPr>
      </w:pPr>
      <w:r>
        <w:rPr>
          <w:rFonts w:hint="eastAsia" w:ascii="仿宋_GB2312" w:eastAsia="仿宋_GB2312" w:cs="仿宋_GB2312"/>
          <w:bCs/>
          <w:sz w:val="32"/>
          <w:szCs w:val="32"/>
          <w:lang w:bidi="ar"/>
        </w:rPr>
        <w:t>日期：</w:t>
      </w:r>
      <w:r>
        <w:rPr>
          <w:rFonts w:hint="eastAsia" w:ascii="仿宋_GB2312" w:eastAsia="仿宋_GB2312" w:cs="Times New Roman"/>
          <w:bCs/>
          <w:sz w:val="32"/>
          <w:szCs w:val="32"/>
          <w:lang w:bidi="ar"/>
        </w:rPr>
        <w:t xml:space="preserve">    </w:t>
      </w:r>
      <w:r>
        <w:rPr>
          <w:rFonts w:hint="eastAsia" w:ascii="仿宋_GB2312" w:eastAsia="仿宋_GB2312" w:cs="仿宋_GB2312"/>
          <w:bCs/>
          <w:sz w:val="32"/>
          <w:szCs w:val="32"/>
          <w:lang w:bidi="ar"/>
        </w:rPr>
        <w:t>年</w:t>
      </w:r>
      <w:r>
        <w:rPr>
          <w:rFonts w:hint="eastAsia" w:ascii="仿宋_GB2312" w:eastAsia="仿宋_GB2312" w:cs="Times New Roman"/>
          <w:bCs/>
          <w:sz w:val="32"/>
          <w:szCs w:val="32"/>
          <w:lang w:bidi="ar"/>
        </w:rPr>
        <w:t xml:space="preserve">   </w:t>
      </w:r>
      <w:r>
        <w:rPr>
          <w:rFonts w:hint="eastAsia" w:ascii="仿宋_GB2312" w:eastAsia="仿宋_GB2312" w:cs="仿宋_GB2312"/>
          <w:bCs/>
          <w:sz w:val="32"/>
          <w:szCs w:val="32"/>
          <w:lang w:bidi="ar"/>
        </w:rPr>
        <w:t>月</w:t>
      </w:r>
      <w:r>
        <w:rPr>
          <w:rFonts w:hint="eastAsia" w:ascii="仿宋_GB2312" w:eastAsia="仿宋_GB2312" w:cs="Times New Roman"/>
          <w:bCs/>
          <w:sz w:val="32"/>
          <w:szCs w:val="32"/>
          <w:lang w:bidi="ar"/>
        </w:rPr>
        <w:t xml:space="preserve">   </w:t>
      </w:r>
      <w:r>
        <w:rPr>
          <w:rFonts w:hint="eastAsia" w:ascii="仿宋_GB2312" w:eastAsia="仿宋_GB2312" w:cs="仿宋_GB2312"/>
          <w:bCs/>
          <w:sz w:val="32"/>
          <w:szCs w:val="32"/>
          <w:lang w:bidi="ar"/>
        </w:rPr>
        <w:t>日</w:t>
      </w:r>
    </w:p>
    <w:p>
      <w:pPr>
        <w:pStyle w:val="7"/>
        <w:ind w:firstLine="0" w:firstLineChars="0"/>
      </w:pPr>
    </w:p>
    <w:sectPr>
      <w:footerReference r:id="rId3" w:type="default"/>
      <w:pgSz w:w="11906" w:h="16838"/>
      <w:pgMar w:top="1417"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81B33"/>
    <w:rsid w:val="00034440"/>
    <w:rsid w:val="000954BE"/>
    <w:rsid w:val="000A1E09"/>
    <w:rsid w:val="002669D8"/>
    <w:rsid w:val="003342A4"/>
    <w:rsid w:val="0048101E"/>
    <w:rsid w:val="00646EE3"/>
    <w:rsid w:val="00681B37"/>
    <w:rsid w:val="008643CE"/>
    <w:rsid w:val="00D0424C"/>
    <w:rsid w:val="00DB06AC"/>
    <w:rsid w:val="00E14184"/>
    <w:rsid w:val="00EA1D9E"/>
    <w:rsid w:val="05306427"/>
    <w:rsid w:val="06E45903"/>
    <w:rsid w:val="17CF0D95"/>
    <w:rsid w:val="19D81B33"/>
    <w:rsid w:val="2D857036"/>
    <w:rsid w:val="404933A9"/>
    <w:rsid w:val="452A1772"/>
    <w:rsid w:val="466656BE"/>
    <w:rsid w:val="48CF7B4C"/>
    <w:rsid w:val="4D0C515D"/>
    <w:rsid w:val="57A86C81"/>
    <w:rsid w:val="65805492"/>
    <w:rsid w:val="6FAB5811"/>
    <w:rsid w:val="72E60FDE"/>
    <w:rsid w:val="7E5D5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spacing w:line="560" w:lineRule="exact"/>
      <w:ind w:firstLine="420" w:firstLineChars="200"/>
    </w:pPr>
    <w:rPr>
      <w:rFonts w:hint="eastAsia" w:ascii="仿宋_GB2312" w:eastAsia="仿宋_GB2312" w:cs="Times New Roman"/>
      <w:sz w:val="32"/>
      <w:szCs w:val="32"/>
    </w:rPr>
  </w:style>
  <w:style w:type="paragraph" w:styleId="4">
    <w:name w:val="Body Text"/>
    <w:basedOn w:val="1"/>
    <w:next w:val="5"/>
    <w:qFormat/>
    <w:uiPriority w:val="0"/>
    <w:pPr>
      <w:jc w:val="center"/>
    </w:pPr>
    <w:rPr>
      <w:rFonts w:eastAsia="方正小标宋简体"/>
      <w:b/>
      <w:color w:val="FF0000"/>
      <w:sz w:val="84"/>
    </w:rPr>
  </w:style>
  <w:style w:type="paragraph" w:styleId="5">
    <w:name w:val="Title"/>
    <w:basedOn w:val="1"/>
    <w:next w:val="1"/>
    <w:unhideWhenUsed/>
    <w:qFormat/>
    <w:uiPriority w:val="0"/>
    <w:pPr>
      <w:spacing w:beforeLines="0" w:afterLines="0" w:line="580" w:lineRule="exact"/>
      <w:ind w:firstLine="634" w:firstLineChars="200"/>
      <w:jc w:val="left"/>
      <w:textAlignment w:val="center"/>
      <w:outlineLvl w:val="2"/>
    </w:pPr>
    <w:rPr>
      <w:rFonts w:hint="default" w:ascii="Calibri Light" w:hAnsi="Calibri Light" w:cs="Times New Roman"/>
      <w:b/>
      <w:sz w:val="32"/>
      <w:szCs w:val="32"/>
    </w:rPr>
  </w:style>
  <w:style w:type="paragraph" w:styleId="6">
    <w:name w:val="annotation text"/>
    <w:basedOn w:val="1"/>
    <w:qFormat/>
    <w:uiPriority w:val="0"/>
    <w:pPr>
      <w:spacing w:line="400" w:lineRule="exact"/>
      <w:jc w:val="left"/>
    </w:pPr>
    <w:rPr>
      <w:rFonts w:hint="eastAsia" w:ascii="仿宋_GB2312" w:eastAsia="仿宋_GB2312" w:cs="Times New Roman"/>
      <w:sz w:val="24"/>
    </w:rPr>
  </w:style>
  <w:style w:type="paragraph" w:styleId="7">
    <w:name w:val="Body Text Indent 2"/>
    <w:basedOn w:val="1"/>
    <w:qFormat/>
    <w:uiPriority w:val="0"/>
    <w:pPr>
      <w:spacing w:line="360" w:lineRule="auto"/>
      <w:ind w:right="279" w:rightChars="133" w:firstLine="640" w:firstLineChars="200"/>
    </w:pPr>
    <w:rPr>
      <w:rFonts w:ascii="仿宋_GB2312" w:eastAsia="仿宋_GB2312"/>
      <w:sz w:val="32"/>
      <w:szCs w:val="32"/>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Table Paragraph"/>
    <w:basedOn w:val="1"/>
    <w:qFormat/>
    <w:uiPriority w:val="0"/>
    <w:pPr>
      <w:autoSpaceDE w:val="0"/>
      <w:autoSpaceDN w:val="0"/>
      <w:spacing w:line="400" w:lineRule="exact"/>
      <w:jc w:val="center"/>
    </w:pPr>
    <w:rPr>
      <w:rFonts w:hint="eastAsia" w:ascii="仿宋_GB2312" w:eastAsia="仿宋_GB2312" w:cs="Times New Roman"/>
      <w:kern w:val="0"/>
      <w:sz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页眉 字符"/>
    <w:basedOn w:val="12"/>
    <w:link w:val="9"/>
    <w:qFormat/>
    <w:uiPriority w:val="0"/>
    <w:rPr>
      <w:kern w:val="2"/>
      <w:sz w:val="18"/>
      <w:szCs w:val="18"/>
    </w:rPr>
  </w:style>
  <w:style w:type="character" w:customStyle="1" w:styleId="17">
    <w:name w:val="页脚 字符"/>
    <w:basedOn w:val="12"/>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544</Words>
  <Characters>561</Characters>
  <Lines>56</Lines>
  <Paragraphs>38</Paragraphs>
  <TotalTime>5</TotalTime>
  <ScaleCrop>false</ScaleCrop>
  <LinksUpToDate>false</LinksUpToDate>
  <CharactersWithSpaces>1067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2025-06-25T09:19:00Z</dcterms:created>
  <dc:creator>lenovo-L</dc:creator>
  <cp:lastModifiedBy>lenovo-L</cp:lastModifiedBy>
  <dcterms:modified xsi:type="dcterms:W3CDTF">2025-10-22T09:00:57Z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D18C7E7E5C884E708A07E109B16A2954</vt:lpwstr>
  </property>
</Properties>
</file>